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B2" w:rsidRDefault="002C0CB2" w:rsidP="00946E49">
      <w:pPr>
        <w:spacing w:line="240" w:lineRule="auto"/>
      </w:pPr>
    </w:p>
    <w:tbl>
      <w:tblPr>
        <w:tblStyle w:val="Grilledutableau"/>
        <w:tblW w:w="9634" w:type="dxa"/>
        <w:tblLook w:val="04A0" w:firstRow="1" w:lastRow="0" w:firstColumn="1" w:lastColumn="0" w:noHBand="0" w:noVBand="1"/>
      </w:tblPr>
      <w:tblGrid>
        <w:gridCol w:w="4718"/>
        <w:gridCol w:w="4916"/>
      </w:tblGrid>
      <w:tr w:rsidR="002C0CB2" w:rsidRPr="00566A7B" w:rsidTr="00854DF4">
        <w:tc>
          <w:tcPr>
            <w:tcW w:w="4718" w:type="dxa"/>
          </w:tcPr>
          <w:p w:rsidR="00566A7B" w:rsidRPr="00566A7B" w:rsidRDefault="00566A7B" w:rsidP="00566A7B">
            <w:pPr>
              <w:jc w:val="center"/>
              <w:rPr>
                <w:sz w:val="28"/>
                <w:szCs w:val="28"/>
              </w:rPr>
            </w:pPr>
            <w:r w:rsidRPr="00566A7B">
              <w:rPr>
                <w:sz w:val="28"/>
                <w:szCs w:val="28"/>
              </w:rPr>
              <w:t>Le processus d’élaboration de la</w:t>
            </w:r>
          </w:p>
          <w:p w:rsidR="002C0CB2" w:rsidRPr="00566A7B" w:rsidRDefault="00566A7B" w:rsidP="00566A7B">
            <w:pPr>
              <w:jc w:val="center"/>
              <w:rPr>
                <w:sz w:val="28"/>
                <w:szCs w:val="28"/>
              </w:rPr>
            </w:pPr>
            <w:r w:rsidRPr="00566A7B">
              <w:rPr>
                <w:sz w:val="28"/>
                <w:szCs w:val="28"/>
              </w:rPr>
              <w:t>politique culturelle</w:t>
            </w:r>
          </w:p>
        </w:tc>
        <w:tc>
          <w:tcPr>
            <w:tcW w:w="4916" w:type="dxa"/>
          </w:tcPr>
          <w:p w:rsidR="00566A7B" w:rsidRDefault="00566A7B" w:rsidP="00566A7B">
            <w:pPr>
              <w:jc w:val="center"/>
              <w:rPr>
                <w:sz w:val="28"/>
                <w:szCs w:val="28"/>
                <w:lang w:val="en-CA"/>
              </w:rPr>
            </w:pPr>
            <w:r w:rsidRPr="00566A7B">
              <w:rPr>
                <w:sz w:val="28"/>
                <w:szCs w:val="28"/>
                <w:lang w:val="en-CA"/>
              </w:rPr>
              <w:t xml:space="preserve">The process of developing a </w:t>
            </w:r>
          </w:p>
          <w:p w:rsidR="002C0CB2" w:rsidRPr="00566A7B" w:rsidRDefault="00566A7B" w:rsidP="00566A7B">
            <w:pPr>
              <w:jc w:val="center"/>
              <w:rPr>
                <w:sz w:val="28"/>
                <w:szCs w:val="28"/>
                <w:lang w:val="en-CA"/>
              </w:rPr>
            </w:pPr>
            <w:r w:rsidRPr="00566A7B">
              <w:rPr>
                <w:sz w:val="28"/>
                <w:szCs w:val="28"/>
                <w:lang w:val="en-CA"/>
              </w:rPr>
              <w:t>cultural policy</w:t>
            </w:r>
          </w:p>
        </w:tc>
      </w:tr>
      <w:tr w:rsidR="002C0CB2" w:rsidRPr="00566A7B" w:rsidTr="00854DF4">
        <w:tc>
          <w:tcPr>
            <w:tcW w:w="4718" w:type="dxa"/>
          </w:tcPr>
          <w:p w:rsidR="002C0CB2" w:rsidRPr="00566A7B" w:rsidRDefault="002C0CB2" w:rsidP="002C0CB2">
            <w:pPr>
              <w:rPr>
                <w:sz w:val="24"/>
                <w:szCs w:val="24"/>
              </w:rPr>
            </w:pPr>
            <w:r w:rsidRPr="00566A7B">
              <w:rPr>
                <w:sz w:val="24"/>
                <w:szCs w:val="24"/>
              </w:rPr>
              <w:t>Étape 1 : l’organisation de la démarche</w:t>
            </w:r>
          </w:p>
          <w:p w:rsidR="002C0CB2" w:rsidRPr="00566A7B" w:rsidRDefault="002C0CB2" w:rsidP="002C0CB2">
            <w:pPr>
              <w:pStyle w:val="Paragraphedeliste"/>
              <w:numPr>
                <w:ilvl w:val="0"/>
                <w:numId w:val="1"/>
              </w:numPr>
              <w:rPr>
                <w:sz w:val="24"/>
                <w:szCs w:val="24"/>
              </w:rPr>
            </w:pPr>
            <w:r w:rsidRPr="00566A7B">
              <w:rPr>
                <w:sz w:val="24"/>
                <w:szCs w:val="24"/>
              </w:rPr>
              <w:t>Le conseil municipal (rôle, mandat, attentes, implication)</w:t>
            </w:r>
          </w:p>
          <w:p w:rsidR="002C0CB2" w:rsidRPr="00566A7B" w:rsidRDefault="002C0CB2" w:rsidP="002C0CB2">
            <w:pPr>
              <w:pStyle w:val="Paragraphedeliste"/>
              <w:numPr>
                <w:ilvl w:val="0"/>
                <w:numId w:val="1"/>
              </w:numPr>
              <w:rPr>
                <w:sz w:val="24"/>
                <w:szCs w:val="24"/>
              </w:rPr>
            </w:pPr>
            <w:r w:rsidRPr="00566A7B">
              <w:rPr>
                <w:sz w:val="24"/>
                <w:szCs w:val="24"/>
              </w:rPr>
              <w:t>Le groupe de travail (composition, répartition des tâches)</w:t>
            </w:r>
          </w:p>
          <w:p w:rsidR="002C0CB2" w:rsidRPr="00566A7B" w:rsidRDefault="002C0CB2" w:rsidP="002C0CB2">
            <w:pPr>
              <w:pStyle w:val="Paragraphedeliste"/>
              <w:numPr>
                <w:ilvl w:val="0"/>
                <w:numId w:val="1"/>
              </w:numPr>
              <w:rPr>
                <w:sz w:val="24"/>
                <w:szCs w:val="24"/>
              </w:rPr>
            </w:pPr>
            <w:r w:rsidRPr="00566A7B">
              <w:rPr>
                <w:sz w:val="24"/>
                <w:szCs w:val="24"/>
              </w:rPr>
              <w:t>Le plan de travail (contenu)</w:t>
            </w:r>
          </w:p>
          <w:p w:rsidR="002C0CB2" w:rsidRPr="00566A7B" w:rsidRDefault="002C0CB2" w:rsidP="00854DF4">
            <w:pPr>
              <w:pStyle w:val="Paragraphedeliste"/>
              <w:numPr>
                <w:ilvl w:val="0"/>
                <w:numId w:val="1"/>
              </w:numPr>
              <w:rPr>
                <w:sz w:val="24"/>
                <w:szCs w:val="24"/>
              </w:rPr>
            </w:pPr>
            <w:r w:rsidRPr="00566A7B">
              <w:rPr>
                <w:sz w:val="24"/>
                <w:szCs w:val="24"/>
              </w:rPr>
              <w:t>Les activités de validation et de consultation (o</w:t>
            </w:r>
            <w:r w:rsidRPr="00566A7B">
              <w:rPr>
                <w:rFonts w:cstheme="minorHAnsi"/>
                <w:sz w:val="24"/>
                <w:szCs w:val="24"/>
              </w:rPr>
              <w:t>ù</w:t>
            </w:r>
            <w:r w:rsidRPr="00566A7B">
              <w:rPr>
                <w:sz w:val="24"/>
                <w:szCs w:val="24"/>
              </w:rPr>
              <w:t>, quand, comment, pourquoi)</w:t>
            </w:r>
          </w:p>
        </w:tc>
        <w:tc>
          <w:tcPr>
            <w:tcW w:w="4916" w:type="dxa"/>
          </w:tcPr>
          <w:p w:rsidR="00854DF4" w:rsidRPr="00566A7B" w:rsidRDefault="002F56A5" w:rsidP="00854DF4">
            <w:pPr>
              <w:rPr>
                <w:sz w:val="24"/>
                <w:szCs w:val="24"/>
                <w:lang w:val="en-CA"/>
              </w:rPr>
            </w:pPr>
            <w:r>
              <w:rPr>
                <w:sz w:val="24"/>
                <w:szCs w:val="24"/>
                <w:lang w:val="en-CA"/>
              </w:rPr>
              <w:t>Step 1: Process components</w:t>
            </w:r>
          </w:p>
          <w:p w:rsidR="00854DF4" w:rsidRPr="00566A7B" w:rsidRDefault="00854DF4" w:rsidP="00854DF4">
            <w:pPr>
              <w:pStyle w:val="Paragraphedeliste"/>
              <w:numPr>
                <w:ilvl w:val="0"/>
                <w:numId w:val="11"/>
              </w:numPr>
              <w:rPr>
                <w:sz w:val="24"/>
                <w:szCs w:val="24"/>
                <w:lang w:val="en-CA"/>
              </w:rPr>
            </w:pPr>
            <w:r w:rsidRPr="00566A7B">
              <w:rPr>
                <w:sz w:val="24"/>
                <w:szCs w:val="24"/>
                <w:lang w:val="en-CA"/>
              </w:rPr>
              <w:t>The municipal council (role, mandate, expectations, involvement)</w:t>
            </w:r>
          </w:p>
          <w:p w:rsidR="00854DF4" w:rsidRPr="00566A7B" w:rsidRDefault="00854DF4" w:rsidP="00854DF4">
            <w:pPr>
              <w:pStyle w:val="Paragraphedeliste"/>
              <w:numPr>
                <w:ilvl w:val="0"/>
                <w:numId w:val="11"/>
              </w:numPr>
              <w:rPr>
                <w:sz w:val="24"/>
                <w:szCs w:val="24"/>
                <w:lang w:val="en-CA"/>
              </w:rPr>
            </w:pPr>
            <w:r w:rsidRPr="00566A7B">
              <w:rPr>
                <w:sz w:val="24"/>
                <w:szCs w:val="24"/>
                <w:lang w:val="en-CA"/>
              </w:rPr>
              <w:t>The working group (composition, division of tasks)</w:t>
            </w:r>
          </w:p>
          <w:p w:rsidR="00854DF4" w:rsidRPr="00566A7B" w:rsidRDefault="00854DF4" w:rsidP="00854DF4">
            <w:pPr>
              <w:pStyle w:val="Paragraphedeliste"/>
              <w:numPr>
                <w:ilvl w:val="0"/>
                <w:numId w:val="11"/>
              </w:numPr>
              <w:rPr>
                <w:sz w:val="24"/>
                <w:szCs w:val="24"/>
                <w:lang w:val="en-CA"/>
              </w:rPr>
            </w:pPr>
            <w:r w:rsidRPr="00566A7B">
              <w:rPr>
                <w:sz w:val="24"/>
                <w:szCs w:val="24"/>
                <w:lang w:val="en-CA"/>
              </w:rPr>
              <w:t>The work plan (content)</w:t>
            </w:r>
          </w:p>
          <w:p w:rsidR="00854DF4" w:rsidRPr="00566A7B" w:rsidRDefault="00854DF4" w:rsidP="00854DF4">
            <w:pPr>
              <w:pStyle w:val="Paragraphedeliste"/>
              <w:numPr>
                <w:ilvl w:val="0"/>
                <w:numId w:val="11"/>
              </w:numPr>
              <w:rPr>
                <w:sz w:val="24"/>
                <w:szCs w:val="24"/>
                <w:lang w:val="en-CA"/>
              </w:rPr>
            </w:pPr>
            <w:r w:rsidRPr="00566A7B">
              <w:rPr>
                <w:sz w:val="24"/>
                <w:szCs w:val="24"/>
                <w:lang w:val="en-CA"/>
              </w:rPr>
              <w:t>Validation and consultation activities (where, when, how, why)</w:t>
            </w:r>
          </w:p>
          <w:p w:rsidR="002C0CB2" w:rsidRPr="00566A7B" w:rsidRDefault="002C0CB2" w:rsidP="00946E49">
            <w:pPr>
              <w:rPr>
                <w:sz w:val="24"/>
                <w:szCs w:val="24"/>
                <w:lang w:val="en-CA"/>
              </w:rPr>
            </w:pPr>
          </w:p>
        </w:tc>
      </w:tr>
      <w:tr w:rsidR="002C0CB2" w:rsidRPr="00566A7B" w:rsidTr="00854DF4">
        <w:tc>
          <w:tcPr>
            <w:tcW w:w="4718" w:type="dxa"/>
          </w:tcPr>
          <w:p w:rsidR="002C0CB2" w:rsidRPr="00566A7B" w:rsidRDefault="002C0CB2" w:rsidP="002C0CB2">
            <w:pPr>
              <w:rPr>
                <w:sz w:val="24"/>
                <w:szCs w:val="24"/>
              </w:rPr>
            </w:pPr>
            <w:r w:rsidRPr="00566A7B">
              <w:rPr>
                <w:sz w:val="24"/>
                <w:szCs w:val="24"/>
              </w:rPr>
              <w:t>Étape 2</w:t>
            </w:r>
            <w:r w:rsidR="002F56A5">
              <w:rPr>
                <w:sz w:val="24"/>
                <w:szCs w:val="24"/>
              </w:rPr>
              <w:t> : l</w:t>
            </w:r>
            <w:r w:rsidRPr="00566A7B">
              <w:rPr>
                <w:sz w:val="24"/>
                <w:szCs w:val="24"/>
              </w:rPr>
              <w:t xml:space="preserve">’État de la situation, le diagnostic et </w:t>
            </w:r>
            <w:r w:rsidRPr="00C1039D">
              <w:rPr>
                <w:sz w:val="24"/>
                <w:szCs w:val="24"/>
              </w:rPr>
              <w:t>les orientations à privilégier</w:t>
            </w:r>
          </w:p>
          <w:p w:rsidR="002C0CB2" w:rsidRPr="00566A7B" w:rsidRDefault="002C0CB2" w:rsidP="002C0CB2">
            <w:pPr>
              <w:pStyle w:val="Paragraphedeliste"/>
              <w:numPr>
                <w:ilvl w:val="0"/>
                <w:numId w:val="2"/>
              </w:numPr>
              <w:rPr>
                <w:sz w:val="24"/>
                <w:szCs w:val="24"/>
              </w:rPr>
            </w:pPr>
            <w:r w:rsidRPr="00566A7B">
              <w:rPr>
                <w:sz w:val="24"/>
                <w:szCs w:val="24"/>
              </w:rPr>
              <w:t>L’histoire culturelle de la municipalité</w:t>
            </w:r>
          </w:p>
          <w:p w:rsidR="002C0CB2" w:rsidRPr="00566A7B" w:rsidRDefault="002C0CB2" w:rsidP="002C0CB2">
            <w:pPr>
              <w:pStyle w:val="Paragraphedeliste"/>
              <w:numPr>
                <w:ilvl w:val="0"/>
                <w:numId w:val="2"/>
              </w:numPr>
              <w:rPr>
                <w:sz w:val="24"/>
                <w:szCs w:val="24"/>
              </w:rPr>
            </w:pPr>
            <w:r w:rsidRPr="00566A7B">
              <w:rPr>
                <w:sz w:val="24"/>
                <w:szCs w:val="24"/>
              </w:rPr>
              <w:t>La situation actuelle (l’intervention municipale, le contexte municipal, régional et national, la collecte d’information sur les besoins et l’offre culturelle)</w:t>
            </w:r>
          </w:p>
          <w:p w:rsidR="002C0CB2" w:rsidRPr="00566A7B" w:rsidRDefault="002C0CB2" w:rsidP="00854DF4">
            <w:pPr>
              <w:pStyle w:val="Paragraphedeliste"/>
              <w:numPr>
                <w:ilvl w:val="0"/>
                <w:numId w:val="2"/>
              </w:numPr>
              <w:rPr>
                <w:sz w:val="24"/>
                <w:szCs w:val="24"/>
              </w:rPr>
            </w:pPr>
            <w:r w:rsidRPr="00566A7B">
              <w:rPr>
                <w:sz w:val="24"/>
                <w:szCs w:val="24"/>
              </w:rPr>
              <w:t xml:space="preserve">L’analyse de l’information précédente, l’établissement du diagnostic (forces, faiblesses, menaces et atouts), l’identification et la validation des </w:t>
            </w:r>
            <w:r w:rsidRPr="00C1039D">
              <w:rPr>
                <w:sz w:val="24"/>
                <w:szCs w:val="24"/>
              </w:rPr>
              <w:t>orientations à privilégier</w:t>
            </w:r>
          </w:p>
        </w:tc>
        <w:tc>
          <w:tcPr>
            <w:tcW w:w="4916" w:type="dxa"/>
          </w:tcPr>
          <w:p w:rsidR="00854DF4" w:rsidRPr="00566A7B" w:rsidRDefault="00854DF4" w:rsidP="00854DF4">
            <w:pPr>
              <w:rPr>
                <w:sz w:val="24"/>
                <w:szCs w:val="24"/>
                <w:lang w:val="en-CA"/>
              </w:rPr>
            </w:pPr>
            <w:r w:rsidRPr="00566A7B">
              <w:rPr>
                <w:sz w:val="24"/>
                <w:szCs w:val="24"/>
                <w:lang w:val="en-CA"/>
              </w:rPr>
              <w:t xml:space="preserve">Step 2: </w:t>
            </w:r>
            <w:r w:rsidR="002F56A5">
              <w:rPr>
                <w:sz w:val="24"/>
                <w:szCs w:val="24"/>
                <w:lang w:val="en-CA"/>
              </w:rPr>
              <w:t>Current</w:t>
            </w:r>
            <w:r w:rsidRPr="00566A7B">
              <w:rPr>
                <w:sz w:val="24"/>
                <w:szCs w:val="24"/>
                <w:lang w:val="en-CA"/>
              </w:rPr>
              <w:t xml:space="preserve"> situation, diagnosis and </w:t>
            </w:r>
            <w:r w:rsidR="00C1039D" w:rsidRPr="00C1039D">
              <w:rPr>
                <w:sz w:val="24"/>
                <w:szCs w:val="24"/>
                <w:lang w:val="en-CA"/>
              </w:rPr>
              <w:t>areas of focus</w:t>
            </w:r>
          </w:p>
          <w:p w:rsidR="00854DF4" w:rsidRPr="00C1039D" w:rsidRDefault="00854DF4" w:rsidP="00854DF4">
            <w:pPr>
              <w:pStyle w:val="Paragraphedeliste"/>
              <w:numPr>
                <w:ilvl w:val="0"/>
                <w:numId w:val="10"/>
              </w:numPr>
              <w:rPr>
                <w:sz w:val="24"/>
                <w:szCs w:val="24"/>
                <w:lang w:val="en-CA"/>
              </w:rPr>
            </w:pPr>
            <w:r w:rsidRPr="00C1039D">
              <w:rPr>
                <w:sz w:val="24"/>
                <w:szCs w:val="24"/>
                <w:lang w:val="en-CA"/>
              </w:rPr>
              <w:t>The cultural history of the municipality</w:t>
            </w:r>
          </w:p>
          <w:p w:rsidR="00854DF4" w:rsidRPr="00C1039D" w:rsidRDefault="00854DF4" w:rsidP="00854DF4">
            <w:pPr>
              <w:pStyle w:val="Paragraphedeliste"/>
              <w:numPr>
                <w:ilvl w:val="0"/>
                <w:numId w:val="10"/>
              </w:numPr>
              <w:rPr>
                <w:sz w:val="24"/>
                <w:szCs w:val="24"/>
                <w:lang w:val="en-CA"/>
              </w:rPr>
            </w:pPr>
            <w:r w:rsidRPr="00C1039D">
              <w:rPr>
                <w:sz w:val="24"/>
                <w:szCs w:val="24"/>
                <w:lang w:val="en-CA"/>
              </w:rPr>
              <w:t>The current situation (municipal intervention, municipal, regional and national context, gathering information on needs and cultural offer</w:t>
            </w:r>
            <w:r w:rsidR="002F56A5" w:rsidRPr="00C1039D">
              <w:rPr>
                <w:sz w:val="24"/>
                <w:szCs w:val="24"/>
                <w:lang w:val="en-CA"/>
              </w:rPr>
              <w:t>ing</w:t>
            </w:r>
            <w:r w:rsidRPr="00C1039D">
              <w:rPr>
                <w:sz w:val="24"/>
                <w:szCs w:val="24"/>
                <w:lang w:val="en-CA"/>
              </w:rPr>
              <w:t>)</w:t>
            </w:r>
          </w:p>
          <w:p w:rsidR="00854DF4" w:rsidRPr="00C1039D" w:rsidRDefault="00854DF4" w:rsidP="00854DF4">
            <w:pPr>
              <w:pStyle w:val="Paragraphedeliste"/>
              <w:numPr>
                <w:ilvl w:val="0"/>
                <w:numId w:val="10"/>
              </w:numPr>
              <w:rPr>
                <w:sz w:val="24"/>
                <w:szCs w:val="24"/>
                <w:lang w:val="en-CA"/>
              </w:rPr>
            </w:pPr>
            <w:r w:rsidRPr="00C1039D">
              <w:rPr>
                <w:sz w:val="24"/>
                <w:szCs w:val="24"/>
                <w:lang w:val="en-CA"/>
              </w:rPr>
              <w:t xml:space="preserve">Analysis of </w:t>
            </w:r>
            <w:r w:rsidR="002F56A5" w:rsidRPr="00C1039D">
              <w:rPr>
                <w:sz w:val="24"/>
                <w:szCs w:val="24"/>
                <w:lang w:val="en-CA"/>
              </w:rPr>
              <w:t>this</w:t>
            </w:r>
            <w:r w:rsidRPr="00C1039D">
              <w:rPr>
                <w:sz w:val="24"/>
                <w:szCs w:val="24"/>
                <w:lang w:val="en-CA"/>
              </w:rPr>
              <w:t xml:space="preserve"> information, diagnosis (strengths, weaknesses, threats and strengths), identification and validation of </w:t>
            </w:r>
            <w:r w:rsidR="00C1039D">
              <w:rPr>
                <w:sz w:val="24"/>
                <w:szCs w:val="24"/>
                <w:lang w:val="en-CA"/>
              </w:rPr>
              <w:t>areas of focus.</w:t>
            </w:r>
          </w:p>
          <w:p w:rsidR="002C0CB2" w:rsidRPr="00566A7B" w:rsidRDefault="002C0CB2" w:rsidP="00946E49">
            <w:pPr>
              <w:rPr>
                <w:sz w:val="24"/>
                <w:szCs w:val="24"/>
                <w:lang w:val="en-CA"/>
              </w:rPr>
            </w:pPr>
          </w:p>
        </w:tc>
      </w:tr>
      <w:tr w:rsidR="002C0CB2" w:rsidRPr="00566A7B" w:rsidTr="00854DF4">
        <w:tc>
          <w:tcPr>
            <w:tcW w:w="4718" w:type="dxa"/>
          </w:tcPr>
          <w:p w:rsidR="002C0CB2" w:rsidRPr="00566A7B" w:rsidRDefault="002C0CB2" w:rsidP="002C0CB2">
            <w:pPr>
              <w:rPr>
                <w:sz w:val="24"/>
                <w:szCs w:val="24"/>
              </w:rPr>
            </w:pPr>
            <w:r w:rsidRPr="00566A7B">
              <w:rPr>
                <w:sz w:val="24"/>
                <w:szCs w:val="24"/>
              </w:rPr>
              <w:t xml:space="preserve">Étape 3 : La consultation publique sur les </w:t>
            </w:r>
            <w:r w:rsidRPr="00C1039D">
              <w:rPr>
                <w:sz w:val="24"/>
                <w:szCs w:val="24"/>
              </w:rPr>
              <w:t>orientations à privilégier</w:t>
            </w:r>
          </w:p>
          <w:p w:rsidR="002C0CB2" w:rsidRPr="00566A7B" w:rsidRDefault="002C0CB2" w:rsidP="00854DF4">
            <w:pPr>
              <w:rPr>
                <w:sz w:val="24"/>
                <w:szCs w:val="24"/>
              </w:rPr>
            </w:pPr>
            <w:r w:rsidRPr="00566A7B">
              <w:rPr>
                <w:sz w:val="24"/>
                <w:szCs w:val="24"/>
              </w:rPr>
              <w:t xml:space="preserve">Cette étape est cruciale puisque c’est à partir des résultats de cette consultation que sera rédigé le projet de politique culturelle. </w:t>
            </w:r>
          </w:p>
          <w:p w:rsidR="002C0CB2" w:rsidRPr="00566A7B" w:rsidRDefault="002C0CB2" w:rsidP="00854DF4">
            <w:pPr>
              <w:rPr>
                <w:sz w:val="24"/>
                <w:szCs w:val="24"/>
              </w:rPr>
            </w:pPr>
            <w:r w:rsidRPr="00566A7B">
              <w:rPr>
                <w:sz w:val="24"/>
                <w:szCs w:val="24"/>
              </w:rPr>
              <w:t xml:space="preserve">‘La consultation publique permet de rejoindre un éventail plus large d’intéressés, qu’il s’agisse de simples citoyens, de membres ou de représentants d’organismes ou de partenaires. Lors de ces rencontres, il est généralement pertinent de présenter les grandes lignes du portrait de la situation et des constatations découlant du diagnostic, afin de partager une même compréhension de la problématique culturelle. </w:t>
            </w:r>
          </w:p>
        </w:tc>
        <w:tc>
          <w:tcPr>
            <w:tcW w:w="4916" w:type="dxa"/>
          </w:tcPr>
          <w:p w:rsidR="00854DF4" w:rsidRPr="00566A7B" w:rsidRDefault="00854DF4" w:rsidP="00854DF4">
            <w:pPr>
              <w:rPr>
                <w:sz w:val="24"/>
                <w:szCs w:val="24"/>
                <w:lang w:val="en-CA"/>
              </w:rPr>
            </w:pPr>
            <w:r w:rsidRPr="00566A7B">
              <w:rPr>
                <w:sz w:val="24"/>
                <w:szCs w:val="24"/>
                <w:lang w:val="en-CA"/>
              </w:rPr>
              <w:t xml:space="preserve">Step 3: Public consultation </w:t>
            </w:r>
            <w:r w:rsidRPr="00C1039D">
              <w:rPr>
                <w:sz w:val="24"/>
                <w:szCs w:val="24"/>
                <w:lang w:val="en-CA"/>
              </w:rPr>
              <w:t>on</w:t>
            </w:r>
            <w:r w:rsidR="00FA2B95" w:rsidRPr="00C1039D">
              <w:rPr>
                <w:sz w:val="24"/>
                <w:szCs w:val="24"/>
                <w:lang w:val="en-CA"/>
              </w:rPr>
              <w:t xml:space="preserve"> areas of focus</w:t>
            </w:r>
            <w:bookmarkStart w:id="0" w:name="_GoBack"/>
            <w:bookmarkEnd w:id="0"/>
          </w:p>
          <w:p w:rsidR="00566A7B" w:rsidRDefault="00566A7B" w:rsidP="00854DF4">
            <w:pPr>
              <w:rPr>
                <w:sz w:val="24"/>
                <w:szCs w:val="24"/>
                <w:lang w:val="en-CA"/>
              </w:rPr>
            </w:pPr>
          </w:p>
          <w:p w:rsidR="00854DF4" w:rsidRPr="00566A7B" w:rsidRDefault="00854DF4" w:rsidP="00854DF4">
            <w:pPr>
              <w:rPr>
                <w:sz w:val="24"/>
                <w:szCs w:val="24"/>
                <w:lang w:val="en-CA"/>
              </w:rPr>
            </w:pPr>
            <w:r w:rsidRPr="00566A7B">
              <w:rPr>
                <w:sz w:val="24"/>
                <w:szCs w:val="24"/>
                <w:lang w:val="en-CA"/>
              </w:rPr>
              <w:t xml:space="preserve">This step is crucial since it is on the basis of the results of this consultation that the draft cultural policy will be </w:t>
            </w:r>
            <w:r w:rsidR="00FA2B95">
              <w:rPr>
                <w:sz w:val="24"/>
                <w:szCs w:val="24"/>
                <w:lang w:val="en-CA"/>
              </w:rPr>
              <w:t>created</w:t>
            </w:r>
            <w:r w:rsidRPr="00566A7B">
              <w:rPr>
                <w:sz w:val="24"/>
                <w:szCs w:val="24"/>
                <w:lang w:val="en-CA"/>
              </w:rPr>
              <w:t>.</w:t>
            </w:r>
          </w:p>
          <w:p w:rsidR="00854DF4" w:rsidRPr="00566A7B" w:rsidRDefault="00854DF4" w:rsidP="00854DF4">
            <w:pPr>
              <w:rPr>
                <w:sz w:val="24"/>
                <w:szCs w:val="24"/>
                <w:lang w:val="en-CA"/>
              </w:rPr>
            </w:pPr>
          </w:p>
          <w:p w:rsidR="00854DF4" w:rsidRPr="00566A7B" w:rsidRDefault="00854DF4" w:rsidP="00854DF4">
            <w:pPr>
              <w:rPr>
                <w:sz w:val="24"/>
                <w:szCs w:val="24"/>
                <w:lang w:val="en-CA"/>
              </w:rPr>
            </w:pPr>
            <w:r w:rsidRPr="00566A7B">
              <w:rPr>
                <w:sz w:val="24"/>
                <w:szCs w:val="24"/>
                <w:lang w:val="en-CA"/>
              </w:rPr>
              <w:t>Public consultation brings together a broader range of stakeholders, be they ordinary citizens, members or representatives of organizations or partners. At these meetings, it is generally relevant to present the outline of the situation and findings arising from the diagnosis in order to share a common understanding of the cultural problem.</w:t>
            </w:r>
          </w:p>
          <w:p w:rsidR="002C0CB2" w:rsidRPr="00566A7B" w:rsidRDefault="002C0CB2" w:rsidP="00946E49">
            <w:pPr>
              <w:rPr>
                <w:sz w:val="24"/>
                <w:szCs w:val="24"/>
                <w:lang w:val="en-CA"/>
              </w:rPr>
            </w:pPr>
          </w:p>
        </w:tc>
      </w:tr>
      <w:tr w:rsidR="002C0CB2" w:rsidRPr="00566A7B" w:rsidTr="00854DF4">
        <w:tc>
          <w:tcPr>
            <w:tcW w:w="4718" w:type="dxa"/>
          </w:tcPr>
          <w:p w:rsidR="00854DF4" w:rsidRPr="00566A7B" w:rsidRDefault="00854DF4" w:rsidP="00854DF4">
            <w:pPr>
              <w:rPr>
                <w:sz w:val="24"/>
                <w:szCs w:val="24"/>
              </w:rPr>
            </w:pPr>
            <w:r w:rsidRPr="00566A7B">
              <w:rPr>
                <w:sz w:val="24"/>
                <w:szCs w:val="24"/>
              </w:rPr>
              <w:t>Étape 4 : La rédaction du projet de politique</w:t>
            </w:r>
          </w:p>
          <w:p w:rsidR="00854DF4" w:rsidRPr="00566A7B" w:rsidRDefault="00854DF4" w:rsidP="00854DF4">
            <w:pPr>
              <w:pStyle w:val="Paragraphedeliste"/>
              <w:numPr>
                <w:ilvl w:val="0"/>
                <w:numId w:val="4"/>
              </w:numPr>
              <w:rPr>
                <w:sz w:val="24"/>
                <w:szCs w:val="24"/>
              </w:rPr>
            </w:pPr>
            <w:r w:rsidRPr="00566A7B">
              <w:rPr>
                <w:sz w:val="24"/>
                <w:szCs w:val="24"/>
              </w:rPr>
              <w:t>Le positionnement de la politique culturelle</w:t>
            </w:r>
          </w:p>
          <w:p w:rsidR="00854DF4" w:rsidRPr="00566A7B" w:rsidRDefault="00854DF4" w:rsidP="00854DF4">
            <w:pPr>
              <w:pStyle w:val="Paragraphedeliste"/>
              <w:numPr>
                <w:ilvl w:val="0"/>
                <w:numId w:val="4"/>
              </w:numPr>
              <w:rPr>
                <w:sz w:val="24"/>
                <w:szCs w:val="24"/>
              </w:rPr>
            </w:pPr>
            <w:r w:rsidRPr="00566A7B">
              <w:rPr>
                <w:sz w:val="24"/>
                <w:szCs w:val="24"/>
              </w:rPr>
              <w:t>Les principes directeurs</w:t>
            </w:r>
          </w:p>
          <w:p w:rsidR="00854DF4" w:rsidRPr="00566A7B" w:rsidRDefault="00854DF4" w:rsidP="00854DF4">
            <w:pPr>
              <w:pStyle w:val="Paragraphedeliste"/>
              <w:numPr>
                <w:ilvl w:val="0"/>
                <w:numId w:val="4"/>
              </w:numPr>
              <w:rPr>
                <w:sz w:val="24"/>
                <w:szCs w:val="24"/>
              </w:rPr>
            </w:pPr>
            <w:r w:rsidRPr="00566A7B">
              <w:rPr>
                <w:sz w:val="24"/>
                <w:szCs w:val="24"/>
              </w:rPr>
              <w:t xml:space="preserve">Les axes d’intervention </w:t>
            </w:r>
          </w:p>
          <w:p w:rsidR="00854DF4" w:rsidRPr="00566A7B" w:rsidRDefault="00854DF4" w:rsidP="00854DF4">
            <w:pPr>
              <w:pStyle w:val="Paragraphedeliste"/>
              <w:numPr>
                <w:ilvl w:val="0"/>
                <w:numId w:val="4"/>
              </w:numPr>
              <w:rPr>
                <w:sz w:val="24"/>
                <w:szCs w:val="24"/>
              </w:rPr>
            </w:pPr>
            <w:r w:rsidRPr="00566A7B">
              <w:rPr>
                <w:sz w:val="24"/>
                <w:szCs w:val="24"/>
              </w:rPr>
              <w:t xml:space="preserve">Les objectifs à atteindre </w:t>
            </w:r>
          </w:p>
          <w:p w:rsidR="002C0CB2" w:rsidRPr="00566A7B" w:rsidRDefault="00854DF4" w:rsidP="00854DF4">
            <w:pPr>
              <w:pStyle w:val="Paragraphedeliste"/>
              <w:numPr>
                <w:ilvl w:val="0"/>
                <w:numId w:val="4"/>
              </w:numPr>
              <w:rPr>
                <w:sz w:val="24"/>
                <w:szCs w:val="24"/>
              </w:rPr>
            </w:pPr>
            <w:r w:rsidRPr="00566A7B">
              <w:rPr>
                <w:sz w:val="24"/>
                <w:szCs w:val="24"/>
              </w:rPr>
              <w:t>Le rôle de la municipalité et le partenariat</w:t>
            </w:r>
          </w:p>
        </w:tc>
        <w:tc>
          <w:tcPr>
            <w:tcW w:w="4916" w:type="dxa"/>
          </w:tcPr>
          <w:p w:rsidR="00854DF4" w:rsidRPr="00566A7B" w:rsidRDefault="00854DF4" w:rsidP="00854DF4">
            <w:pPr>
              <w:rPr>
                <w:sz w:val="24"/>
                <w:szCs w:val="24"/>
                <w:lang w:val="en-CA"/>
              </w:rPr>
            </w:pPr>
            <w:r w:rsidRPr="00566A7B">
              <w:rPr>
                <w:sz w:val="24"/>
                <w:szCs w:val="24"/>
                <w:lang w:val="en-CA"/>
              </w:rPr>
              <w:t>Step 4: Draft Policy Proposal</w:t>
            </w:r>
          </w:p>
          <w:p w:rsidR="00854DF4" w:rsidRPr="00566A7B" w:rsidRDefault="00FA2B95" w:rsidP="00854DF4">
            <w:pPr>
              <w:pStyle w:val="Paragraphedeliste"/>
              <w:numPr>
                <w:ilvl w:val="0"/>
                <w:numId w:val="9"/>
              </w:numPr>
              <w:rPr>
                <w:sz w:val="24"/>
                <w:szCs w:val="24"/>
                <w:lang w:val="en-CA"/>
              </w:rPr>
            </w:pPr>
            <w:r>
              <w:rPr>
                <w:sz w:val="24"/>
                <w:szCs w:val="24"/>
                <w:lang w:val="en-CA"/>
              </w:rPr>
              <w:t>The positioning of the c</w:t>
            </w:r>
            <w:r w:rsidR="00854DF4" w:rsidRPr="00566A7B">
              <w:rPr>
                <w:sz w:val="24"/>
                <w:szCs w:val="24"/>
                <w:lang w:val="en-CA"/>
              </w:rPr>
              <w:t>ultural policy</w:t>
            </w:r>
          </w:p>
          <w:p w:rsidR="00854DF4" w:rsidRPr="00566A7B" w:rsidRDefault="00854DF4" w:rsidP="00854DF4">
            <w:pPr>
              <w:pStyle w:val="Paragraphedeliste"/>
              <w:numPr>
                <w:ilvl w:val="0"/>
                <w:numId w:val="9"/>
              </w:numPr>
              <w:rPr>
                <w:sz w:val="24"/>
                <w:szCs w:val="24"/>
                <w:lang w:val="en-CA"/>
              </w:rPr>
            </w:pPr>
            <w:r w:rsidRPr="00566A7B">
              <w:rPr>
                <w:sz w:val="24"/>
                <w:szCs w:val="24"/>
                <w:lang w:val="en-CA"/>
              </w:rPr>
              <w:t>The guiding principles</w:t>
            </w:r>
          </w:p>
          <w:p w:rsidR="00854DF4" w:rsidRPr="00566A7B" w:rsidRDefault="00854DF4" w:rsidP="00854DF4">
            <w:pPr>
              <w:pStyle w:val="Paragraphedeliste"/>
              <w:numPr>
                <w:ilvl w:val="0"/>
                <w:numId w:val="9"/>
              </w:numPr>
              <w:rPr>
                <w:sz w:val="24"/>
                <w:szCs w:val="24"/>
                <w:lang w:val="en-CA"/>
              </w:rPr>
            </w:pPr>
            <w:r w:rsidRPr="00566A7B">
              <w:rPr>
                <w:sz w:val="24"/>
                <w:szCs w:val="24"/>
                <w:lang w:val="en-CA"/>
              </w:rPr>
              <w:t>Areas of intervention</w:t>
            </w:r>
          </w:p>
          <w:p w:rsidR="00854DF4" w:rsidRPr="00566A7B" w:rsidRDefault="00854DF4" w:rsidP="00854DF4">
            <w:pPr>
              <w:pStyle w:val="Paragraphedeliste"/>
              <w:numPr>
                <w:ilvl w:val="0"/>
                <w:numId w:val="9"/>
              </w:numPr>
              <w:rPr>
                <w:sz w:val="24"/>
                <w:szCs w:val="24"/>
                <w:lang w:val="en-CA"/>
              </w:rPr>
            </w:pPr>
            <w:r w:rsidRPr="00566A7B">
              <w:rPr>
                <w:sz w:val="24"/>
                <w:szCs w:val="24"/>
                <w:lang w:val="en-CA"/>
              </w:rPr>
              <w:t>The objectives to be achieved</w:t>
            </w:r>
          </w:p>
          <w:p w:rsidR="00854DF4" w:rsidRPr="00566A7B" w:rsidRDefault="00854DF4" w:rsidP="00854DF4">
            <w:pPr>
              <w:pStyle w:val="Paragraphedeliste"/>
              <w:numPr>
                <w:ilvl w:val="0"/>
                <w:numId w:val="9"/>
              </w:numPr>
              <w:rPr>
                <w:sz w:val="24"/>
                <w:szCs w:val="24"/>
                <w:lang w:val="en-CA"/>
              </w:rPr>
            </w:pPr>
            <w:r w:rsidRPr="00566A7B">
              <w:rPr>
                <w:sz w:val="24"/>
                <w:szCs w:val="24"/>
                <w:lang w:val="en-CA"/>
              </w:rPr>
              <w:t>The role of the municipality and other stake</w:t>
            </w:r>
            <w:r w:rsidR="00566A7B" w:rsidRPr="00566A7B">
              <w:rPr>
                <w:sz w:val="24"/>
                <w:szCs w:val="24"/>
                <w:lang w:val="en-CA"/>
              </w:rPr>
              <w:t>h</w:t>
            </w:r>
            <w:r w:rsidRPr="00566A7B">
              <w:rPr>
                <w:sz w:val="24"/>
                <w:szCs w:val="24"/>
                <w:lang w:val="en-CA"/>
              </w:rPr>
              <w:t>olders</w:t>
            </w:r>
          </w:p>
          <w:p w:rsidR="002C0CB2" w:rsidRPr="00566A7B" w:rsidRDefault="002C0CB2" w:rsidP="00946E49">
            <w:pPr>
              <w:rPr>
                <w:sz w:val="24"/>
                <w:szCs w:val="24"/>
                <w:lang w:val="en-CA"/>
              </w:rPr>
            </w:pPr>
          </w:p>
        </w:tc>
      </w:tr>
      <w:tr w:rsidR="00854DF4" w:rsidRPr="00566A7B" w:rsidTr="00854DF4">
        <w:tc>
          <w:tcPr>
            <w:tcW w:w="4718" w:type="dxa"/>
          </w:tcPr>
          <w:p w:rsidR="00854DF4" w:rsidRPr="00566A7B" w:rsidRDefault="00854DF4" w:rsidP="00854DF4">
            <w:pPr>
              <w:rPr>
                <w:sz w:val="24"/>
                <w:szCs w:val="24"/>
              </w:rPr>
            </w:pPr>
            <w:r w:rsidRPr="00566A7B">
              <w:rPr>
                <w:sz w:val="24"/>
                <w:szCs w:val="24"/>
              </w:rPr>
              <w:lastRenderedPageBreak/>
              <w:t>Étape 5 : La validation et l’adoption de la politique</w:t>
            </w:r>
          </w:p>
          <w:p w:rsidR="00854DF4" w:rsidRPr="00566A7B" w:rsidRDefault="00854DF4" w:rsidP="00854DF4">
            <w:pPr>
              <w:pStyle w:val="Paragraphedeliste"/>
              <w:numPr>
                <w:ilvl w:val="0"/>
                <w:numId w:val="5"/>
              </w:numPr>
              <w:rPr>
                <w:sz w:val="24"/>
                <w:szCs w:val="24"/>
              </w:rPr>
            </w:pPr>
            <w:r w:rsidRPr="00566A7B">
              <w:rPr>
                <w:sz w:val="24"/>
                <w:szCs w:val="24"/>
              </w:rPr>
              <w:t>La validation par le Conseil</w:t>
            </w:r>
          </w:p>
          <w:p w:rsidR="00854DF4" w:rsidRPr="00566A7B" w:rsidRDefault="00854DF4" w:rsidP="00854DF4">
            <w:pPr>
              <w:pStyle w:val="Paragraphedeliste"/>
              <w:numPr>
                <w:ilvl w:val="0"/>
                <w:numId w:val="5"/>
              </w:numPr>
              <w:rPr>
                <w:sz w:val="24"/>
                <w:szCs w:val="24"/>
              </w:rPr>
            </w:pPr>
            <w:r w:rsidRPr="00566A7B">
              <w:rPr>
                <w:sz w:val="24"/>
                <w:szCs w:val="24"/>
              </w:rPr>
              <w:t>La validation par les principaux intervenants et partenaires</w:t>
            </w:r>
          </w:p>
          <w:p w:rsidR="00854DF4" w:rsidRPr="00566A7B" w:rsidRDefault="00854DF4" w:rsidP="00854DF4">
            <w:pPr>
              <w:pStyle w:val="Paragraphedeliste"/>
              <w:numPr>
                <w:ilvl w:val="0"/>
                <w:numId w:val="5"/>
              </w:numPr>
              <w:rPr>
                <w:sz w:val="24"/>
                <w:szCs w:val="24"/>
              </w:rPr>
            </w:pPr>
            <w:r w:rsidRPr="00566A7B">
              <w:rPr>
                <w:sz w:val="24"/>
                <w:szCs w:val="24"/>
              </w:rPr>
              <w:t>L’adoption par le conseil municipal</w:t>
            </w:r>
          </w:p>
          <w:p w:rsidR="00854DF4" w:rsidRPr="00566A7B" w:rsidRDefault="00854DF4" w:rsidP="00854DF4">
            <w:pPr>
              <w:pStyle w:val="Paragraphedeliste"/>
              <w:numPr>
                <w:ilvl w:val="0"/>
                <w:numId w:val="5"/>
              </w:numPr>
              <w:rPr>
                <w:sz w:val="24"/>
                <w:szCs w:val="24"/>
              </w:rPr>
            </w:pPr>
            <w:r w:rsidRPr="00566A7B">
              <w:rPr>
                <w:sz w:val="24"/>
                <w:szCs w:val="24"/>
              </w:rPr>
              <w:t>La diffusion de la politique culturelle</w:t>
            </w:r>
          </w:p>
        </w:tc>
        <w:tc>
          <w:tcPr>
            <w:tcW w:w="4916" w:type="dxa"/>
          </w:tcPr>
          <w:p w:rsidR="00854DF4" w:rsidRPr="00566A7B" w:rsidRDefault="00854DF4" w:rsidP="00854DF4">
            <w:pPr>
              <w:rPr>
                <w:sz w:val="24"/>
                <w:szCs w:val="24"/>
                <w:lang w:val="en-CA"/>
              </w:rPr>
            </w:pPr>
            <w:r w:rsidRPr="00566A7B">
              <w:rPr>
                <w:sz w:val="24"/>
                <w:szCs w:val="24"/>
                <w:lang w:val="en-CA"/>
              </w:rPr>
              <w:t>Step 5: Validation and adoption of the policy</w:t>
            </w:r>
          </w:p>
          <w:p w:rsidR="00854DF4" w:rsidRPr="00566A7B" w:rsidRDefault="00854DF4" w:rsidP="00854DF4">
            <w:pPr>
              <w:pStyle w:val="Paragraphedeliste"/>
              <w:numPr>
                <w:ilvl w:val="0"/>
                <w:numId w:val="8"/>
              </w:numPr>
              <w:rPr>
                <w:sz w:val="24"/>
                <w:szCs w:val="24"/>
                <w:lang w:val="en-CA"/>
              </w:rPr>
            </w:pPr>
            <w:r w:rsidRPr="00566A7B">
              <w:rPr>
                <w:sz w:val="24"/>
                <w:szCs w:val="24"/>
                <w:lang w:val="en-CA"/>
              </w:rPr>
              <w:t>Validation by the Council</w:t>
            </w:r>
          </w:p>
          <w:p w:rsidR="00854DF4" w:rsidRPr="00566A7B" w:rsidRDefault="00854DF4" w:rsidP="00854DF4">
            <w:pPr>
              <w:pStyle w:val="Paragraphedeliste"/>
              <w:numPr>
                <w:ilvl w:val="0"/>
                <w:numId w:val="8"/>
              </w:numPr>
              <w:rPr>
                <w:sz w:val="24"/>
                <w:szCs w:val="24"/>
                <w:lang w:val="en-CA"/>
              </w:rPr>
            </w:pPr>
            <w:r w:rsidRPr="00566A7B">
              <w:rPr>
                <w:sz w:val="24"/>
                <w:szCs w:val="24"/>
                <w:lang w:val="en-CA"/>
              </w:rPr>
              <w:t xml:space="preserve">Validation by key stakeholders and partners  </w:t>
            </w:r>
          </w:p>
          <w:p w:rsidR="00854DF4" w:rsidRPr="00566A7B" w:rsidRDefault="00854DF4" w:rsidP="00854DF4">
            <w:pPr>
              <w:pStyle w:val="Paragraphedeliste"/>
              <w:numPr>
                <w:ilvl w:val="0"/>
                <w:numId w:val="8"/>
              </w:numPr>
              <w:rPr>
                <w:sz w:val="24"/>
                <w:szCs w:val="24"/>
                <w:lang w:val="en-CA"/>
              </w:rPr>
            </w:pPr>
            <w:r w:rsidRPr="00566A7B">
              <w:rPr>
                <w:sz w:val="24"/>
                <w:szCs w:val="24"/>
                <w:lang w:val="en-CA"/>
              </w:rPr>
              <w:t>The adoption by the municipal council</w:t>
            </w:r>
          </w:p>
          <w:p w:rsidR="00854DF4" w:rsidRPr="00566A7B" w:rsidRDefault="00854DF4" w:rsidP="00854DF4">
            <w:pPr>
              <w:pStyle w:val="Paragraphedeliste"/>
              <w:numPr>
                <w:ilvl w:val="0"/>
                <w:numId w:val="8"/>
              </w:numPr>
              <w:rPr>
                <w:sz w:val="24"/>
                <w:szCs w:val="24"/>
                <w:lang w:val="en-CA"/>
              </w:rPr>
            </w:pPr>
            <w:r w:rsidRPr="00566A7B">
              <w:rPr>
                <w:sz w:val="24"/>
                <w:szCs w:val="24"/>
                <w:lang w:val="en-CA"/>
              </w:rPr>
              <w:t>Dissemination of cultural policy</w:t>
            </w:r>
          </w:p>
          <w:p w:rsidR="00854DF4" w:rsidRPr="00566A7B" w:rsidRDefault="00854DF4" w:rsidP="00854DF4">
            <w:pPr>
              <w:rPr>
                <w:sz w:val="24"/>
                <w:szCs w:val="24"/>
                <w:lang w:val="en-CA"/>
              </w:rPr>
            </w:pPr>
          </w:p>
        </w:tc>
      </w:tr>
      <w:tr w:rsidR="00854DF4" w:rsidRPr="00566A7B" w:rsidTr="00854DF4">
        <w:tc>
          <w:tcPr>
            <w:tcW w:w="4718" w:type="dxa"/>
          </w:tcPr>
          <w:p w:rsidR="00854DF4" w:rsidRPr="00566A7B" w:rsidRDefault="00854DF4" w:rsidP="00854DF4">
            <w:pPr>
              <w:rPr>
                <w:sz w:val="24"/>
                <w:szCs w:val="24"/>
              </w:rPr>
            </w:pPr>
            <w:r w:rsidRPr="00566A7B">
              <w:rPr>
                <w:sz w:val="24"/>
                <w:szCs w:val="24"/>
              </w:rPr>
              <w:t>Étape 6 : Le plan d’action : La mise en œuvre et le suivi de la politique culturelle</w:t>
            </w:r>
          </w:p>
          <w:p w:rsidR="00854DF4" w:rsidRPr="00566A7B" w:rsidRDefault="00854DF4" w:rsidP="00854DF4">
            <w:pPr>
              <w:pStyle w:val="Paragraphedeliste"/>
              <w:numPr>
                <w:ilvl w:val="0"/>
                <w:numId w:val="6"/>
              </w:numPr>
              <w:rPr>
                <w:sz w:val="24"/>
                <w:szCs w:val="24"/>
              </w:rPr>
            </w:pPr>
            <w:r w:rsidRPr="00566A7B">
              <w:rPr>
                <w:sz w:val="24"/>
                <w:szCs w:val="24"/>
              </w:rPr>
              <w:t>La programmation</w:t>
            </w:r>
          </w:p>
          <w:p w:rsidR="00854DF4" w:rsidRPr="00566A7B" w:rsidRDefault="00854DF4" w:rsidP="00854DF4">
            <w:pPr>
              <w:pStyle w:val="Paragraphedeliste"/>
              <w:numPr>
                <w:ilvl w:val="0"/>
                <w:numId w:val="6"/>
              </w:numPr>
              <w:rPr>
                <w:sz w:val="24"/>
                <w:szCs w:val="24"/>
              </w:rPr>
            </w:pPr>
            <w:r w:rsidRPr="00566A7B">
              <w:rPr>
                <w:sz w:val="24"/>
                <w:szCs w:val="24"/>
              </w:rPr>
              <w:t>Le comité de suivi</w:t>
            </w:r>
          </w:p>
          <w:p w:rsidR="00854DF4" w:rsidRPr="00566A7B" w:rsidRDefault="00854DF4" w:rsidP="00854DF4">
            <w:pPr>
              <w:pStyle w:val="Paragraphedeliste"/>
              <w:numPr>
                <w:ilvl w:val="0"/>
                <w:numId w:val="6"/>
              </w:numPr>
              <w:rPr>
                <w:sz w:val="24"/>
                <w:szCs w:val="24"/>
              </w:rPr>
            </w:pPr>
            <w:r w:rsidRPr="00566A7B">
              <w:rPr>
                <w:sz w:val="24"/>
                <w:szCs w:val="24"/>
              </w:rPr>
              <w:t>L’intégration à la structure et aux autres mandats municipaux</w:t>
            </w:r>
          </w:p>
          <w:p w:rsidR="00854DF4" w:rsidRPr="00566A7B" w:rsidRDefault="00854DF4" w:rsidP="00854DF4">
            <w:pPr>
              <w:pStyle w:val="Paragraphedeliste"/>
              <w:numPr>
                <w:ilvl w:val="0"/>
                <w:numId w:val="6"/>
              </w:numPr>
              <w:rPr>
                <w:sz w:val="24"/>
                <w:szCs w:val="24"/>
              </w:rPr>
            </w:pPr>
            <w:r w:rsidRPr="00566A7B">
              <w:rPr>
                <w:sz w:val="24"/>
                <w:szCs w:val="24"/>
              </w:rPr>
              <w:t>Les collaborations et les ententes</w:t>
            </w:r>
          </w:p>
          <w:p w:rsidR="00854DF4" w:rsidRPr="00566A7B" w:rsidRDefault="00854DF4" w:rsidP="00854DF4">
            <w:pPr>
              <w:pStyle w:val="Paragraphedeliste"/>
              <w:numPr>
                <w:ilvl w:val="0"/>
                <w:numId w:val="6"/>
              </w:numPr>
              <w:rPr>
                <w:sz w:val="24"/>
                <w:szCs w:val="24"/>
              </w:rPr>
            </w:pPr>
            <w:r w:rsidRPr="00566A7B">
              <w:rPr>
                <w:sz w:val="24"/>
                <w:szCs w:val="24"/>
              </w:rPr>
              <w:t>Les modalités d’évaluation</w:t>
            </w:r>
          </w:p>
        </w:tc>
        <w:tc>
          <w:tcPr>
            <w:tcW w:w="4916" w:type="dxa"/>
          </w:tcPr>
          <w:p w:rsidR="00854DF4" w:rsidRPr="00566A7B" w:rsidRDefault="00854DF4" w:rsidP="00854DF4">
            <w:pPr>
              <w:rPr>
                <w:sz w:val="24"/>
                <w:szCs w:val="24"/>
                <w:lang w:val="en-CA"/>
              </w:rPr>
            </w:pPr>
            <w:r w:rsidRPr="00566A7B">
              <w:rPr>
                <w:sz w:val="24"/>
                <w:szCs w:val="24"/>
                <w:lang w:val="en-CA"/>
              </w:rPr>
              <w:t>Step 6: The action plan: Implementation and monitoring of cultural policy</w:t>
            </w:r>
          </w:p>
          <w:p w:rsidR="00854DF4" w:rsidRPr="00566A7B" w:rsidRDefault="00854DF4" w:rsidP="00854DF4">
            <w:pPr>
              <w:pStyle w:val="Paragraphedeliste"/>
              <w:numPr>
                <w:ilvl w:val="0"/>
                <w:numId w:val="7"/>
              </w:numPr>
              <w:rPr>
                <w:sz w:val="24"/>
                <w:szCs w:val="24"/>
                <w:lang w:val="en-CA"/>
              </w:rPr>
            </w:pPr>
            <w:r w:rsidRPr="00566A7B">
              <w:rPr>
                <w:sz w:val="24"/>
                <w:szCs w:val="24"/>
                <w:lang w:val="en-CA"/>
              </w:rPr>
              <w:t>Programming</w:t>
            </w:r>
          </w:p>
          <w:p w:rsidR="00854DF4" w:rsidRPr="00566A7B" w:rsidRDefault="00854DF4" w:rsidP="00854DF4">
            <w:pPr>
              <w:pStyle w:val="Paragraphedeliste"/>
              <w:numPr>
                <w:ilvl w:val="0"/>
                <w:numId w:val="7"/>
              </w:numPr>
              <w:rPr>
                <w:sz w:val="24"/>
                <w:szCs w:val="24"/>
                <w:lang w:val="en-CA"/>
              </w:rPr>
            </w:pPr>
            <w:r w:rsidRPr="00566A7B">
              <w:rPr>
                <w:sz w:val="24"/>
                <w:szCs w:val="24"/>
                <w:lang w:val="en-CA"/>
              </w:rPr>
              <w:t xml:space="preserve">The </w:t>
            </w:r>
            <w:r w:rsidR="00566A7B">
              <w:rPr>
                <w:sz w:val="24"/>
                <w:szCs w:val="24"/>
                <w:lang w:val="en-CA"/>
              </w:rPr>
              <w:t>m</w:t>
            </w:r>
            <w:r w:rsidRPr="00566A7B">
              <w:rPr>
                <w:sz w:val="24"/>
                <w:szCs w:val="24"/>
                <w:lang w:val="en-CA"/>
              </w:rPr>
              <w:t xml:space="preserve">onitoring </w:t>
            </w:r>
            <w:r w:rsidR="00566A7B">
              <w:rPr>
                <w:sz w:val="24"/>
                <w:szCs w:val="24"/>
                <w:lang w:val="en-CA"/>
              </w:rPr>
              <w:t>c</w:t>
            </w:r>
            <w:r w:rsidRPr="00566A7B">
              <w:rPr>
                <w:sz w:val="24"/>
                <w:szCs w:val="24"/>
                <w:lang w:val="en-CA"/>
              </w:rPr>
              <w:t>ommittee</w:t>
            </w:r>
          </w:p>
          <w:p w:rsidR="00854DF4" w:rsidRPr="00566A7B" w:rsidRDefault="00854DF4" w:rsidP="00854DF4">
            <w:pPr>
              <w:pStyle w:val="Paragraphedeliste"/>
              <w:numPr>
                <w:ilvl w:val="0"/>
                <w:numId w:val="7"/>
              </w:numPr>
              <w:rPr>
                <w:sz w:val="24"/>
                <w:szCs w:val="24"/>
                <w:lang w:val="en-CA"/>
              </w:rPr>
            </w:pPr>
            <w:r w:rsidRPr="00566A7B">
              <w:rPr>
                <w:sz w:val="24"/>
                <w:szCs w:val="24"/>
                <w:lang w:val="en-CA"/>
              </w:rPr>
              <w:t>Integration with the structure and other municipal mandates</w:t>
            </w:r>
          </w:p>
          <w:p w:rsidR="00854DF4" w:rsidRPr="00566A7B" w:rsidRDefault="00854DF4" w:rsidP="00854DF4">
            <w:pPr>
              <w:pStyle w:val="Paragraphedeliste"/>
              <w:numPr>
                <w:ilvl w:val="0"/>
                <w:numId w:val="7"/>
              </w:numPr>
              <w:rPr>
                <w:sz w:val="24"/>
                <w:szCs w:val="24"/>
                <w:lang w:val="en-CA"/>
              </w:rPr>
            </w:pPr>
            <w:r w:rsidRPr="00566A7B">
              <w:rPr>
                <w:sz w:val="24"/>
                <w:szCs w:val="24"/>
                <w:lang w:val="en-CA"/>
              </w:rPr>
              <w:t>Collaborations and agreements</w:t>
            </w:r>
          </w:p>
          <w:p w:rsidR="00854DF4" w:rsidRPr="00566A7B" w:rsidRDefault="00854DF4" w:rsidP="00854DF4">
            <w:pPr>
              <w:pStyle w:val="Paragraphedeliste"/>
              <w:numPr>
                <w:ilvl w:val="0"/>
                <w:numId w:val="7"/>
              </w:numPr>
              <w:rPr>
                <w:sz w:val="24"/>
                <w:szCs w:val="24"/>
                <w:lang w:val="en-CA"/>
              </w:rPr>
            </w:pPr>
            <w:r w:rsidRPr="00566A7B">
              <w:rPr>
                <w:sz w:val="24"/>
                <w:szCs w:val="24"/>
                <w:lang w:val="en-CA"/>
              </w:rPr>
              <w:t>Evaluation procedures</w:t>
            </w:r>
          </w:p>
          <w:p w:rsidR="00854DF4" w:rsidRPr="00566A7B" w:rsidRDefault="00854DF4" w:rsidP="00854DF4">
            <w:pPr>
              <w:rPr>
                <w:sz w:val="24"/>
                <w:szCs w:val="24"/>
                <w:lang w:val="en-CA"/>
              </w:rPr>
            </w:pPr>
          </w:p>
        </w:tc>
      </w:tr>
    </w:tbl>
    <w:p w:rsidR="002C0CB2" w:rsidRPr="002C0CB2" w:rsidRDefault="002C0CB2" w:rsidP="002C0CB2">
      <w:pPr>
        <w:spacing w:line="240" w:lineRule="auto"/>
        <w:rPr>
          <w:lang w:val="en-CA"/>
        </w:rPr>
      </w:pPr>
    </w:p>
    <w:sectPr w:rsidR="002C0CB2" w:rsidRPr="002C0CB2" w:rsidSect="00566A7B">
      <w:pgSz w:w="12240" w:h="15840"/>
      <w:pgMar w:top="709" w:right="180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036"/>
    <w:multiLevelType w:val="hybridMultilevel"/>
    <w:tmpl w:val="84C888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4002A5"/>
    <w:multiLevelType w:val="hybridMultilevel"/>
    <w:tmpl w:val="5ADAB7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63B5DBE"/>
    <w:multiLevelType w:val="hybridMultilevel"/>
    <w:tmpl w:val="078E32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8C66B3B"/>
    <w:multiLevelType w:val="hybridMultilevel"/>
    <w:tmpl w:val="ED8E29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F1738C5"/>
    <w:multiLevelType w:val="hybridMultilevel"/>
    <w:tmpl w:val="5FDCD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D93CC0"/>
    <w:multiLevelType w:val="hybridMultilevel"/>
    <w:tmpl w:val="BD2AAD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82A399F"/>
    <w:multiLevelType w:val="hybridMultilevel"/>
    <w:tmpl w:val="A822D1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2787D37"/>
    <w:multiLevelType w:val="hybridMultilevel"/>
    <w:tmpl w:val="E520AF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7E46789"/>
    <w:multiLevelType w:val="hybridMultilevel"/>
    <w:tmpl w:val="766688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A322890"/>
    <w:multiLevelType w:val="hybridMultilevel"/>
    <w:tmpl w:val="92847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4B2CD4"/>
    <w:multiLevelType w:val="hybridMultilevel"/>
    <w:tmpl w:val="1430FC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39"/>
    <w:rsid w:val="002C0CB2"/>
    <w:rsid w:val="002F56A5"/>
    <w:rsid w:val="00566A7B"/>
    <w:rsid w:val="00650BF2"/>
    <w:rsid w:val="00854DF4"/>
    <w:rsid w:val="00946E49"/>
    <w:rsid w:val="00C1039D"/>
    <w:rsid w:val="00D93F0D"/>
    <w:rsid w:val="00FA2B95"/>
    <w:rsid w:val="00FD5C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767D-591F-4414-BE0B-8B57AC5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50BF2"/>
    <w:rPr>
      <w:sz w:val="16"/>
      <w:szCs w:val="16"/>
    </w:rPr>
  </w:style>
  <w:style w:type="paragraph" w:styleId="Commentaire">
    <w:name w:val="annotation text"/>
    <w:basedOn w:val="Normal"/>
    <w:link w:val="CommentaireCar"/>
    <w:uiPriority w:val="99"/>
    <w:semiHidden/>
    <w:unhideWhenUsed/>
    <w:rsid w:val="00650BF2"/>
    <w:pPr>
      <w:spacing w:line="240" w:lineRule="auto"/>
    </w:pPr>
    <w:rPr>
      <w:sz w:val="20"/>
      <w:szCs w:val="20"/>
    </w:rPr>
  </w:style>
  <w:style w:type="character" w:customStyle="1" w:styleId="CommentaireCar">
    <w:name w:val="Commentaire Car"/>
    <w:basedOn w:val="Policepardfaut"/>
    <w:link w:val="Commentaire"/>
    <w:uiPriority w:val="99"/>
    <w:semiHidden/>
    <w:rsid w:val="00650BF2"/>
    <w:rPr>
      <w:sz w:val="20"/>
      <w:szCs w:val="20"/>
    </w:rPr>
  </w:style>
  <w:style w:type="paragraph" w:styleId="Objetducommentaire">
    <w:name w:val="annotation subject"/>
    <w:basedOn w:val="Commentaire"/>
    <w:next w:val="Commentaire"/>
    <w:link w:val="ObjetducommentaireCar"/>
    <w:uiPriority w:val="99"/>
    <w:semiHidden/>
    <w:unhideWhenUsed/>
    <w:rsid w:val="00650BF2"/>
    <w:rPr>
      <w:b/>
      <w:bCs/>
    </w:rPr>
  </w:style>
  <w:style w:type="character" w:customStyle="1" w:styleId="ObjetducommentaireCar">
    <w:name w:val="Objet du commentaire Car"/>
    <w:basedOn w:val="CommentaireCar"/>
    <w:link w:val="Objetducommentaire"/>
    <w:uiPriority w:val="99"/>
    <w:semiHidden/>
    <w:rsid w:val="00650BF2"/>
    <w:rPr>
      <w:b/>
      <w:bCs/>
      <w:sz w:val="20"/>
      <w:szCs w:val="20"/>
    </w:rPr>
  </w:style>
  <w:style w:type="paragraph" w:styleId="Textedebulles">
    <w:name w:val="Balloon Text"/>
    <w:basedOn w:val="Normal"/>
    <w:link w:val="TextedebullesCar"/>
    <w:uiPriority w:val="99"/>
    <w:semiHidden/>
    <w:unhideWhenUsed/>
    <w:rsid w:val="00650B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BF2"/>
    <w:rPr>
      <w:rFonts w:ascii="Segoe UI" w:hAnsi="Segoe UI" w:cs="Segoe UI"/>
      <w:sz w:val="18"/>
      <w:szCs w:val="18"/>
    </w:rPr>
  </w:style>
  <w:style w:type="paragraph" w:styleId="Paragraphedeliste">
    <w:name w:val="List Paragraph"/>
    <w:basedOn w:val="Normal"/>
    <w:uiPriority w:val="34"/>
    <w:qFormat/>
    <w:rsid w:val="002C0CB2"/>
    <w:pPr>
      <w:ind w:left="720"/>
      <w:contextualSpacing/>
    </w:pPr>
  </w:style>
  <w:style w:type="table" w:styleId="Grilledutableau">
    <w:name w:val="Table Grid"/>
    <w:basedOn w:val="TableauNormal"/>
    <w:uiPriority w:val="39"/>
    <w:rsid w:val="002C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MacCaffrey</dc:creator>
  <cp:keywords/>
  <dc:description/>
  <cp:lastModifiedBy>Laura MacCaffrey</cp:lastModifiedBy>
  <cp:revision>3</cp:revision>
  <dcterms:created xsi:type="dcterms:W3CDTF">2017-03-21T17:20:00Z</dcterms:created>
  <dcterms:modified xsi:type="dcterms:W3CDTF">2017-03-21T22:11:00Z</dcterms:modified>
</cp:coreProperties>
</file>